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DC" w:rsidRDefault="000A48D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Title"/>
        <w:jc w:val="center"/>
      </w:pPr>
      <w:r>
        <w:t>УПРАВЛЕНИЕ ЭНЕРГЕТИКИ И ТАРИФОВ</w:t>
      </w:r>
    </w:p>
    <w:p w:rsidR="000A48DC" w:rsidRDefault="000A48DC">
      <w:pPr>
        <w:pStyle w:val="ConsPlusTitle"/>
        <w:jc w:val="center"/>
      </w:pPr>
      <w:r>
        <w:t>ЛИПЕЦКОЙ ОБЛАСТИ</w:t>
      </w:r>
    </w:p>
    <w:p w:rsidR="000A48DC" w:rsidRDefault="000A48DC">
      <w:pPr>
        <w:pStyle w:val="ConsPlusTitle"/>
        <w:jc w:val="center"/>
      </w:pPr>
    </w:p>
    <w:p w:rsidR="000A48DC" w:rsidRDefault="000A48DC">
      <w:pPr>
        <w:pStyle w:val="ConsPlusTitle"/>
        <w:jc w:val="center"/>
      </w:pPr>
      <w:r>
        <w:t>ПОСТАНОВЛЕНИЕ</w:t>
      </w:r>
    </w:p>
    <w:p w:rsidR="000A48DC" w:rsidRDefault="000A48DC">
      <w:pPr>
        <w:pStyle w:val="ConsPlusTitle"/>
        <w:jc w:val="center"/>
      </w:pPr>
      <w:r>
        <w:t>от 16 декабря 2014 г. N 54/43</w:t>
      </w:r>
    </w:p>
    <w:p w:rsidR="000A48DC" w:rsidRDefault="000A48DC">
      <w:pPr>
        <w:pStyle w:val="ConsPlusTitle"/>
        <w:jc w:val="center"/>
      </w:pPr>
    </w:p>
    <w:p w:rsidR="000A48DC" w:rsidRDefault="000A48DC">
      <w:pPr>
        <w:pStyle w:val="ConsPlusTitle"/>
        <w:jc w:val="center"/>
      </w:pPr>
      <w:r>
        <w:t>О СБЫТОВЫХ НАДБАВКАХ НА ЭЛЕКТРИЧЕСКУЮ ЭНЕРГИЮ (МОЩНОСТЬ),</w:t>
      </w:r>
    </w:p>
    <w:p w:rsidR="000A48DC" w:rsidRDefault="000A48DC">
      <w:pPr>
        <w:pStyle w:val="ConsPlusTitle"/>
        <w:jc w:val="center"/>
      </w:pPr>
      <w:r>
        <w:t>ПОСТАВЛЯЕМУЮ ГАРАНТИРУЮЩИМИ ПОСТАВЩИКАМИ, И РАЗМЕРЕ</w:t>
      </w:r>
    </w:p>
    <w:p w:rsidR="000A48DC" w:rsidRDefault="000A48DC">
      <w:pPr>
        <w:pStyle w:val="ConsPlusTitle"/>
        <w:jc w:val="center"/>
      </w:pPr>
      <w:r>
        <w:t>ДОХОДНОСТИ ПРОДАЖ ГАРАНТИРУЮЩИХ ПОСТАВЩИКОВ НА ТЕРРИТОРИИ</w:t>
      </w:r>
    </w:p>
    <w:p w:rsidR="000A48DC" w:rsidRDefault="000A48DC">
      <w:pPr>
        <w:pStyle w:val="ConsPlusTitle"/>
        <w:jc w:val="center"/>
      </w:pPr>
      <w:r>
        <w:t>ЛИПЕЦКОЙ ОБЛАСТИ В ГРАНИЦАХ СВОИХ ЗОН ДЕЯТЕЛЬНОСТИ</w:t>
      </w:r>
    </w:p>
    <w:p w:rsidR="000A48DC" w:rsidRDefault="000A48DC">
      <w:pPr>
        <w:pStyle w:val="ConsPlusTitle"/>
        <w:jc w:val="center"/>
      </w:pPr>
      <w:r>
        <w:t>НА 2015 ГОД</w:t>
      </w:r>
    </w:p>
    <w:p w:rsidR="000A48DC" w:rsidRDefault="000A48DC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управления энергетики и тарифов</w:t>
      </w:r>
    </w:p>
    <w:p w:rsidR="000A48DC" w:rsidRDefault="000A48DC">
      <w:pPr>
        <w:pStyle w:val="ConsPlusNormal"/>
        <w:jc w:val="center"/>
      </w:pPr>
      <w:r>
        <w:t>Липецкой обл. от 26.06.2015 N 23/1)</w:t>
      </w:r>
    </w:p>
    <w:p w:rsidR="000A48DC" w:rsidRDefault="000A48DC">
      <w:pPr>
        <w:pStyle w:val="ConsPlusNormal"/>
        <w:jc w:val="center"/>
      </w:pPr>
    </w:p>
    <w:p w:rsidR="000A48DC" w:rsidRDefault="000A48D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постановлениями Правительства Российской Федерации от 29 декабря 2011 года </w:t>
      </w:r>
      <w:hyperlink r:id="rId7" w:history="1">
        <w:r>
          <w:rPr>
            <w:color w:val="0000FF"/>
          </w:rPr>
          <w:t>N 1178</w:t>
        </w:r>
      </w:hyperlink>
      <w:r>
        <w:t xml:space="preserve"> "О ценообразовании в области регулируемых цен (тарифов) в электроэнергетике", от 4 мая 2012 года </w:t>
      </w:r>
      <w:hyperlink r:id="rId8" w:history="1">
        <w:r>
          <w:rPr>
            <w:color w:val="0000FF"/>
          </w:rPr>
          <w:t>N 442</w:t>
        </w:r>
      </w:hyperlink>
      <w:r>
        <w:t xml:space="preserve"> "О функционировании розничных рынков электрической энергии, полном и (или) частичном ограничении режима потребления электрической энергии", приказами ФСТ России от 30 октября 2012 года </w:t>
      </w:r>
      <w:hyperlink r:id="rId9" w:history="1">
        <w:r>
          <w:rPr>
            <w:color w:val="0000FF"/>
          </w:rPr>
          <w:t>N 703-э</w:t>
        </w:r>
      </w:hyperlink>
      <w:r>
        <w:t xml:space="preserve"> "Об утверждении Методических указаний по расчету сбытовых надбавок гарантирующих поставщиков и размера доходности продаж гарантирующих поставщиков", от 28 марта 2013 года </w:t>
      </w:r>
      <w:hyperlink r:id="rId10" w:history="1">
        <w:r>
          <w:rPr>
            <w:color w:val="0000FF"/>
          </w:rPr>
          <w:t>N 313-э</w:t>
        </w:r>
      </w:hyperlink>
      <w:r>
        <w:t xml:space="preserve"> "Об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тарифов" и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администрации Липецкой области от 27 июля 2010 года N 280-р "Об утверждении Положения об управлении энергетики и тарифов Липецкой области" управление энергетики и тарифов Липецкой области постановляет:</w:t>
      </w:r>
    </w:p>
    <w:p w:rsidR="000A48DC" w:rsidRDefault="000A48DC">
      <w:pPr>
        <w:pStyle w:val="ConsPlusNormal"/>
        <w:ind w:firstLine="540"/>
        <w:jc w:val="both"/>
      </w:pPr>
      <w:r>
        <w:t xml:space="preserve">1. Установить сбытовые </w:t>
      </w:r>
      <w:hyperlink w:anchor="P32" w:history="1">
        <w:r>
          <w:rPr>
            <w:color w:val="0000FF"/>
          </w:rPr>
          <w:t>надбавки</w:t>
        </w:r>
      </w:hyperlink>
      <w:r>
        <w:t xml:space="preserve"> на электрическую энергию (мощность), поставляемую гарантирующими поставщиками, и размеры доходности продаж гарантирующих поставщиков на территории Липецкой области в границах своих зон деятельности на 2015 год (приложение).</w:t>
      </w:r>
    </w:p>
    <w:p w:rsidR="000A48DC" w:rsidRDefault="000A48DC">
      <w:pPr>
        <w:pStyle w:val="ConsPlusNormal"/>
        <w:ind w:firstLine="540"/>
        <w:jc w:val="both"/>
      </w:pPr>
      <w:r>
        <w:t xml:space="preserve">2. Считать утратившим силу с 1 января 2015 года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управления энергетики и тарифов Липецкой области от 16 декабря 2013 года N 52/1 "О сбытовых надбавках на электрическую энергию (мощность), поставляемую гарантирующими поставщиками, и размере доходности продаж гарантирующих поставщиков на территории Липецкой области в границах своих зон деятельности на 2014 год".</w:t>
      </w: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right"/>
      </w:pPr>
      <w:r>
        <w:t>Начальник управления</w:t>
      </w:r>
    </w:p>
    <w:p w:rsidR="000A48DC" w:rsidRDefault="000A48DC">
      <w:pPr>
        <w:pStyle w:val="ConsPlusNormal"/>
        <w:jc w:val="right"/>
      </w:pPr>
      <w:r>
        <w:t>В.И.ЧУНИХИН</w:t>
      </w: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right"/>
      </w:pPr>
      <w:r>
        <w:t>Приложение</w:t>
      </w:r>
    </w:p>
    <w:p w:rsidR="000A48DC" w:rsidRDefault="000A48DC">
      <w:pPr>
        <w:pStyle w:val="ConsPlusNormal"/>
        <w:jc w:val="right"/>
      </w:pPr>
      <w:r>
        <w:t>к постановлению</w:t>
      </w:r>
    </w:p>
    <w:p w:rsidR="000A48DC" w:rsidRDefault="000A48DC">
      <w:pPr>
        <w:pStyle w:val="ConsPlusNormal"/>
        <w:jc w:val="right"/>
      </w:pPr>
      <w:r>
        <w:t>управления энергетики</w:t>
      </w:r>
    </w:p>
    <w:p w:rsidR="000A48DC" w:rsidRDefault="000A48DC">
      <w:pPr>
        <w:pStyle w:val="ConsPlusNormal"/>
        <w:jc w:val="right"/>
      </w:pPr>
      <w:r>
        <w:t>и тарифов Липецкой области</w:t>
      </w:r>
    </w:p>
    <w:p w:rsidR="000A48DC" w:rsidRDefault="000A48DC">
      <w:pPr>
        <w:pStyle w:val="ConsPlusNormal"/>
        <w:jc w:val="right"/>
      </w:pPr>
      <w:r>
        <w:t>от 16 декабря 2014 г. N 54/43</w:t>
      </w: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Title"/>
        <w:jc w:val="center"/>
      </w:pPr>
      <w:bookmarkStart w:id="1" w:name="P32"/>
      <w:bookmarkEnd w:id="1"/>
      <w:r>
        <w:t>СБЫТОВЫЕ НАДБАВКИ НА ЭЛЕКТРИЧЕСКУЮ ЭНЕРГИЮ (МОЩНОСТЬ),</w:t>
      </w:r>
    </w:p>
    <w:p w:rsidR="000A48DC" w:rsidRDefault="000A48DC">
      <w:pPr>
        <w:pStyle w:val="ConsPlusTitle"/>
        <w:jc w:val="center"/>
      </w:pPr>
      <w:r>
        <w:t>ПОСТАВЛЯЕМУЮ ГАРАНТИРУЮЩИМИ ПОСТАВЩИКАМИ, И РАЗМЕР</w:t>
      </w:r>
    </w:p>
    <w:p w:rsidR="000A48DC" w:rsidRDefault="000A48DC">
      <w:pPr>
        <w:pStyle w:val="ConsPlusTitle"/>
        <w:jc w:val="center"/>
      </w:pPr>
      <w:r>
        <w:t>ДОХОДНОСТИ ПРОДАЖ ГАРАНТИРУЮЩИХ ПОСТАВЩИКОВ НА ТЕРРИТОРИИ</w:t>
      </w:r>
    </w:p>
    <w:p w:rsidR="000A48DC" w:rsidRDefault="000A48DC">
      <w:pPr>
        <w:pStyle w:val="ConsPlusTitle"/>
        <w:jc w:val="center"/>
      </w:pPr>
      <w:r>
        <w:t>ЛИПЕЦКОЙ ОБЛАСТИ В ГРАНИЦАХ СВОИХ ЗОН ДЕЯТЕЛЬНОСТИ</w:t>
      </w:r>
    </w:p>
    <w:p w:rsidR="000A48DC" w:rsidRDefault="000A48DC">
      <w:pPr>
        <w:pStyle w:val="ConsPlusTitle"/>
        <w:jc w:val="center"/>
      </w:pPr>
      <w:r>
        <w:t>НА 2015 ГОД</w:t>
      </w:r>
    </w:p>
    <w:p w:rsidR="000A48DC" w:rsidRDefault="000A48DC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управления энергетики и тарифов</w:t>
      </w:r>
    </w:p>
    <w:p w:rsidR="000A48DC" w:rsidRDefault="000A48DC">
      <w:pPr>
        <w:pStyle w:val="ConsPlusNormal"/>
        <w:jc w:val="center"/>
      </w:pPr>
      <w:r>
        <w:t>Липецкой обл. от 26.06.2015 N 23/1)</w:t>
      </w: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right"/>
      </w:pPr>
      <w:r>
        <w:t>(без НДС)</w:t>
      </w:r>
    </w:p>
    <w:p w:rsidR="000A48DC" w:rsidRDefault="000A48D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45"/>
        <w:gridCol w:w="2835"/>
        <w:gridCol w:w="2835"/>
      </w:tblGrid>
      <w:tr w:rsidR="000A48DC">
        <w:tc>
          <w:tcPr>
            <w:tcW w:w="624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567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Сбытовая надбавка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3345" w:type="dxa"/>
            <w:vMerge/>
          </w:tcPr>
          <w:p w:rsidR="000A48DC" w:rsidRDefault="000A48DC"/>
        </w:tc>
        <w:tc>
          <w:tcPr>
            <w:tcW w:w="567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Тарифная группа потребителей "население" и приравненные к нему категории потребителей, руб./кВт.ч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3345" w:type="dxa"/>
            <w:vMerge/>
          </w:tcPr>
          <w:p w:rsidR="000A48DC" w:rsidRDefault="000A48DC"/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4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0A48DC" w:rsidRDefault="000A48DC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0,041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0,041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0A48DC" w:rsidRDefault="000A48DC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0,286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0,298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0A48DC" w:rsidRDefault="000A48DC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0,298</w:t>
            </w:r>
          </w:p>
        </w:tc>
      </w:tr>
    </w:tbl>
    <w:p w:rsidR="000A48DC" w:rsidRDefault="000A48D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45"/>
        <w:gridCol w:w="2835"/>
        <w:gridCol w:w="2835"/>
      </w:tblGrid>
      <w:tr w:rsidR="000A48DC">
        <w:tc>
          <w:tcPr>
            <w:tcW w:w="624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567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Сбытовая надбавка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3345" w:type="dxa"/>
            <w:vMerge/>
          </w:tcPr>
          <w:p w:rsidR="000A48DC" w:rsidRDefault="000A48DC"/>
        </w:tc>
        <w:tc>
          <w:tcPr>
            <w:tcW w:w="567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Тарифная группа потребителей "сетевые организации, покупающие электрическую энергию для компенсации потерь электрической энергии", руб./кВт.ч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3345" w:type="dxa"/>
            <w:vMerge/>
          </w:tcPr>
          <w:p w:rsidR="000A48DC" w:rsidRDefault="000A48DC"/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4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0A48DC" w:rsidRDefault="000A48DC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0,487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0,318</w:t>
            </w:r>
          </w:p>
        </w:tc>
      </w:tr>
      <w:tr w:rsidR="000A48D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tcBorders>
              <w:bottom w:val="nil"/>
            </w:tcBorders>
          </w:tcPr>
          <w:p w:rsidR="000A48DC" w:rsidRDefault="000A48DC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2835" w:type="dxa"/>
            <w:tcBorders>
              <w:bottom w:val="nil"/>
            </w:tcBorders>
          </w:tcPr>
          <w:p w:rsidR="000A48DC" w:rsidRDefault="000A48DC">
            <w:pPr>
              <w:pStyle w:val="ConsPlusNormal"/>
              <w:jc w:val="center"/>
            </w:pPr>
            <w:r>
              <w:t>0,099</w:t>
            </w:r>
          </w:p>
        </w:tc>
        <w:tc>
          <w:tcPr>
            <w:tcW w:w="2835" w:type="dxa"/>
            <w:tcBorders>
              <w:bottom w:val="nil"/>
            </w:tcBorders>
          </w:tcPr>
          <w:p w:rsidR="000A48DC" w:rsidRDefault="000A48DC">
            <w:pPr>
              <w:pStyle w:val="ConsPlusNormal"/>
              <w:jc w:val="center"/>
            </w:pPr>
            <w:r>
              <w:t>0,111</w:t>
            </w:r>
          </w:p>
        </w:tc>
      </w:tr>
      <w:tr w:rsidR="000A48DC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0A48DC" w:rsidRDefault="000A48DC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управления энергетики и тарифов Липецкой обл. от 26.06.2015 N 23/1)</w:t>
            </w:r>
          </w:p>
        </w:tc>
      </w:tr>
      <w:tr w:rsidR="000A48D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tcBorders>
              <w:bottom w:val="nil"/>
            </w:tcBorders>
          </w:tcPr>
          <w:p w:rsidR="000A48DC" w:rsidRDefault="000A48DC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2835" w:type="dxa"/>
            <w:tcBorders>
              <w:bottom w:val="nil"/>
            </w:tcBorders>
          </w:tcPr>
          <w:p w:rsidR="000A48DC" w:rsidRDefault="000A48DC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2835" w:type="dxa"/>
            <w:tcBorders>
              <w:bottom w:val="nil"/>
            </w:tcBorders>
          </w:tcPr>
          <w:p w:rsidR="000A48DC" w:rsidRDefault="000A48DC">
            <w:pPr>
              <w:pStyle w:val="ConsPlusNormal"/>
              <w:jc w:val="center"/>
            </w:pPr>
            <w:r>
              <w:t>0,066</w:t>
            </w:r>
          </w:p>
        </w:tc>
      </w:tr>
      <w:tr w:rsidR="000A48DC">
        <w:tblPrEx>
          <w:tblBorders>
            <w:insideH w:val="nil"/>
          </w:tblBorders>
        </w:tblPrEx>
        <w:tc>
          <w:tcPr>
            <w:tcW w:w="9639" w:type="dxa"/>
            <w:gridSpan w:val="4"/>
            <w:tcBorders>
              <w:top w:val="nil"/>
            </w:tcBorders>
          </w:tcPr>
          <w:p w:rsidR="000A48DC" w:rsidRDefault="000A48DC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управления энергетики и тарифов Липецкой обл. от 26.06.2015 N 23/1)</w:t>
            </w:r>
          </w:p>
        </w:tc>
      </w:tr>
    </w:tbl>
    <w:p w:rsidR="000A48DC" w:rsidRDefault="000A48D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5102"/>
        <w:gridCol w:w="5102"/>
      </w:tblGrid>
      <w:tr w:rsidR="000A48DC">
        <w:tc>
          <w:tcPr>
            <w:tcW w:w="567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10204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Сбытовая надбавка</w: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10204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Тарифная группа "прочие потребители"</w: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10204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В виде формулы на розничном рынке на территориях, объединенных в ценовые зоны оптового рынка</w: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0A48DC">
        <w:tc>
          <w:tcPr>
            <w:tcW w:w="567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  <w:jc w:val="center"/>
            </w:pPr>
            <w:r>
              <w:t>4</w:t>
            </w:r>
          </w:p>
        </w:tc>
      </w:tr>
      <w:tr w:rsidR="000A48DC">
        <w:tc>
          <w:tcPr>
            <w:tcW w:w="567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</w:tcPr>
          <w:p w:rsidR="000A48DC" w:rsidRDefault="000A48DC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25" style="width:159pt;height:22.5pt" coordsize="" o:spt="100" adj="0,,0" path="" stroked="f">
                  <v:stroke joinstyle="miter"/>
                  <v:imagedata r:id="rId16" o:title="base_23772_72743_26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26" style="width:159pt;height:22.5pt" coordsize="" o:spt="100" adj="0,,0" path="" stroked="f">
                  <v:stroke joinstyle="miter"/>
                  <v:imagedata r:id="rId16" o:title="base_23772_72743_27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27" style="width:181.5pt;height:22.5pt" coordsize="" o:spt="100" adj="0,,0" path="" stroked="f">
                  <v:stroke joinstyle="miter"/>
                  <v:imagedata r:id="rId17" o:title="base_23772_72743_28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28" style="width:181.5pt;height:22.5pt" coordsize="" o:spt="100" adj="0,,0" path="" stroked="f">
                  <v:stroke joinstyle="miter"/>
                  <v:imagedata r:id="rId17" o:title="base_23772_72743_29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2"/>
              </w:rPr>
              <w:pict>
                <v:shape id="_x0000_i1029" style="width:195.75pt;height:22.5pt" coordsize="" o:spt="100" adj="0,,0" path="" stroked="f">
                  <v:stroke joinstyle="miter"/>
                  <v:imagedata r:id="rId18" o:title="base_23772_72743_30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2"/>
              </w:rPr>
              <w:pict>
                <v:shape id="_x0000_i1030" style="width:195.75pt;height:22.5pt" coordsize="" o:spt="100" adj="0,,0" path="" stroked="f">
                  <v:stroke joinstyle="miter"/>
                  <v:imagedata r:id="rId19" o:title="base_23772_72743_31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0A48DC" w:rsidRDefault="000A48DC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1" style="width:159pt;height:22.5pt" coordsize="" o:spt="100" adj="0,,0" path="" stroked="f">
                  <v:stroke joinstyle="miter"/>
                  <v:imagedata r:id="rId16" o:title="base_23772_72743_32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2" style="width:159pt;height:22.5pt" coordsize="" o:spt="100" adj="0,,0" path="" stroked="f">
                  <v:stroke joinstyle="miter"/>
                  <v:imagedata r:id="rId16" o:title="base_23772_72743_33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3" style="width:181.5pt;height:22.5pt" coordsize="" o:spt="100" adj="0,,0" path="" stroked="f">
                  <v:stroke joinstyle="miter"/>
                  <v:imagedata r:id="rId17" o:title="base_23772_72743_34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4" style="width:181.5pt;height:22.5pt" coordsize="" o:spt="100" adj="0,,0" path="" stroked="f">
                  <v:stroke joinstyle="miter"/>
                  <v:imagedata r:id="rId17" o:title="base_23772_72743_35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2"/>
              </w:rPr>
              <w:pict>
                <v:shape id="_x0000_i1035" style="width:195.75pt;height:22.5pt" coordsize="" o:spt="100" adj="0,,0" path="" stroked="f">
                  <v:stroke joinstyle="miter"/>
                  <v:imagedata r:id="rId20" o:title="base_23772_72743_36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2"/>
              </w:rPr>
              <w:pict>
                <v:shape id="_x0000_i1036" style="width:195.75pt;height:22.5pt" coordsize="" o:spt="100" adj="0,,0" path="" stroked="f">
                  <v:stroke joinstyle="miter"/>
                  <v:imagedata r:id="rId21" o:title="base_23772_72743_37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7" style="width:178.5pt;height:22.5pt" coordsize="" o:spt="100" adj="0,,0" path="" stroked="f">
                  <v:stroke joinstyle="miter"/>
                  <v:imagedata r:id="rId22" o:title="base_23772_72743_38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8" style="width:178.5pt;height:22.5pt" coordsize="" o:spt="100" adj="0,,0" path="" stroked="f">
                  <v:stroke joinstyle="miter"/>
                  <v:imagedata r:id="rId22" o:title="base_23772_72743_39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vMerge w:val="restart"/>
          </w:tcPr>
          <w:p w:rsidR="000A48DC" w:rsidRDefault="000A48DC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39" style="width:159pt;height:22.5pt" coordsize="" o:spt="100" adj="0,,0" path="" stroked="f">
                  <v:stroke joinstyle="miter"/>
                  <v:imagedata r:id="rId16" o:title="base_23772_72743_40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40" style="width:159pt;height:22.5pt" coordsize="" o:spt="100" adj="0,,0" path="" stroked="f">
                  <v:stroke joinstyle="miter"/>
                  <v:imagedata r:id="rId16" o:title="base_23772_72743_41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41" style="width:181.5pt;height:22.5pt" coordsize="" o:spt="100" adj="0,,0" path="" stroked="f">
                  <v:stroke joinstyle="miter"/>
                  <v:imagedata r:id="rId17" o:title="base_23772_72743_42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42" style="width:181.5pt;height:22.5pt" coordsize="" o:spt="100" adj="0,,0" path="" stroked="f">
                  <v:stroke joinstyle="miter"/>
                  <v:imagedata r:id="rId17" o:title="base_23772_72743_43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2"/>
              </w:rPr>
              <w:pict>
                <v:shape id="_x0000_i1043" style="width:195.75pt;height:22.5pt" coordsize="" o:spt="100" adj="0,,0" path="" stroked="f">
                  <v:stroke joinstyle="miter"/>
                  <v:imagedata r:id="rId23" o:title="base_23772_72743_44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2"/>
              </w:rPr>
              <w:pict>
                <v:shape id="_x0000_i1044" style="width:195.75pt;height:22.5pt" coordsize="" o:spt="100" adj="0,,0" path="" stroked="f">
                  <v:stroke joinstyle="miter"/>
                  <v:imagedata r:id="rId24" o:title="base_23772_72743_45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567" w:type="dxa"/>
            <w:vMerge/>
          </w:tcPr>
          <w:p w:rsidR="000A48DC" w:rsidRDefault="000A48DC"/>
        </w:tc>
        <w:tc>
          <w:tcPr>
            <w:tcW w:w="2835" w:type="dxa"/>
            <w:vMerge/>
          </w:tcPr>
          <w:p w:rsidR="000A48DC" w:rsidRDefault="000A48DC"/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45" style="width:178.5pt;height:22.5pt" coordsize="" o:spt="100" adj="0,,0" path="" stroked="f">
                  <v:stroke joinstyle="miter"/>
                  <v:imagedata r:id="rId22" o:title="base_23772_72743_46"/>
                  <v:formulas/>
                  <v:path o:connecttype="segments"/>
                </v:shape>
              </w:pict>
            </w:r>
          </w:p>
        </w:tc>
        <w:tc>
          <w:tcPr>
            <w:tcW w:w="5102" w:type="dxa"/>
          </w:tcPr>
          <w:p w:rsidR="000A48DC" w:rsidRDefault="000A48DC">
            <w:pPr>
              <w:pStyle w:val="ConsPlusNormal"/>
            </w:pPr>
            <w:r w:rsidRPr="001865CF">
              <w:rPr>
                <w:position w:val="-10"/>
              </w:rPr>
              <w:pict>
                <v:shape id="_x0000_i1046" style="width:178.5pt;height:22.5pt" coordsize="" o:spt="100" adj="0,,0" path="" stroked="f">
                  <v:stroke joinstyle="miter"/>
                  <v:imagedata r:id="rId22" o:title="base_23772_72743_47"/>
                  <v:formulas/>
                  <v:path o:connecttype="segments"/>
                </v:shape>
              </w:pict>
            </w:r>
          </w:p>
        </w:tc>
      </w:tr>
    </w:tbl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ind w:firstLine="540"/>
        <w:jc w:val="both"/>
      </w:pPr>
      <w:r w:rsidRPr="001865CF">
        <w:rPr>
          <w:position w:val="-11"/>
        </w:rPr>
        <w:pict>
          <v:shape id="_x0000_i1047" style="width:29.25pt;height:23.25pt" coordsize="" o:spt="100" adj="0,,0" path="" stroked="f">
            <v:stroke joinstyle="miter"/>
            <v:imagedata r:id="rId25" o:title="base_23772_72743_48"/>
            <v:formulas/>
            <v:path o:connecttype="segments"/>
          </v:shape>
        </w:pict>
      </w:r>
      <w:r>
        <w:t xml:space="preserve"> - j-ый вид цены на электрическую энергию и (или) мощность k-го ГП, руб./кВт.ч или руб./кВт, указанный в </w:t>
      </w:r>
      <w:hyperlink r:id="rId26" w:history="1">
        <w:r>
          <w:rPr>
            <w:color w:val="0000FF"/>
          </w:rPr>
          <w:t>п. 16</w:t>
        </w:r>
      </w:hyperlink>
      <w:r>
        <w:t xml:space="preserve"> Методических указаний по расчету сбытовых надбавок гарантирующих поставщиков и размера доходности продаж гарантирующих поставщиков, утвержденных приказом ФСТ России от 30.10.2012 N 703-э (зарегистрировано в Минюсте России 29.11.2012, регистрационный N 25975);</w:t>
      </w:r>
    </w:p>
    <w:p w:rsidR="000A48DC" w:rsidRDefault="000A48DC">
      <w:pPr>
        <w:pStyle w:val="ConsPlusNormal"/>
        <w:ind w:firstLine="540"/>
        <w:jc w:val="both"/>
      </w:pPr>
      <w:r w:rsidRPr="001865CF">
        <w:rPr>
          <w:position w:val="-8"/>
        </w:rPr>
        <w:pict>
          <v:shape id="_x0000_i1048" style="width:32.25pt;height:19.5pt" coordsize="" o:spt="100" adj="0,,0" path="" stroked="f">
            <v:stroke joinstyle="miter"/>
            <v:imagedata r:id="rId27" o:title="base_23772_72743_49"/>
            <v:formulas/>
            <v:path o:connecttype="segments"/>
          </v:shape>
        </w:pict>
      </w:r>
      <w:r>
        <w:t xml:space="preserve"> - доходность продаж, определяемая в соответствии с Методическими </w:t>
      </w:r>
      <w:hyperlink r:id="rId28" w:history="1">
        <w:r>
          <w:rPr>
            <w:color w:val="0000FF"/>
          </w:rPr>
          <w:t>указаниями</w:t>
        </w:r>
      </w:hyperlink>
      <w: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N 703-э (зарегистрировано в Минюсте России 29.11.2012, регистрационный N 25975), и указанная в отношении i-ых подгрупп группы "прочие потребители" k-го ГП в таблице:</w:t>
      </w:r>
    </w:p>
    <w:p w:rsidR="000A48DC" w:rsidRDefault="000A48D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91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A48DC">
        <w:tc>
          <w:tcPr>
            <w:tcW w:w="624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91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6800" w:type="dxa"/>
            <w:gridSpan w:val="8"/>
          </w:tcPr>
          <w:p w:rsidR="000A48DC" w:rsidRDefault="000A48DC">
            <w:pPr>
              <w:pStyle w:val="ConsPlusNormal"/>
              <w:jc w:val="center"/>
            </w:pPr>
            <w:r>
              <w:t>Доходность продаж для группы "прочие потребители" (ДП)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2891" w:type="dxa"/>
            <w:vMerge/>
          </w:tcPr>
          <w:p w:rsidR="000A48DC" w:rsidRDefault="000A48DC"/>
        </w:tc>
        <w:tc>
          <w:tcPr>
            <w:tcW w:w="6800" w:type="dxa"/>
            <w:gridSpan w:val="8"/>
          </w:tcPr>
          <w:p w:rsidR="000A48DC" w:rsidRDefault="000A48DC">
            <w:pPr>
              <w:pStyle w:val="ConsPlusNormal"/>
              <w:jc w:val="center"/>
            </w:pPr>
            <w:r>
              <w:t>Подгруппы потребителей с максимальной мощностью энергопринимающих устройств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2891" w:type="dxa"/>
            <w:vMerge/>
          </w:tcPr>
          <w:p w:rsidR="000A48DC" w:rsidRDefault="000A48DC"/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менее 150 кВт</w:t>
            </w:r>
          </w:p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от 150 до 670 кВт</w:t>
            </w:r>
          </w:p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от 670 до 10 МВт</w:t>
            </w:r>
          </w:p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не менее 10 МВт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2891" w:type="dxa"/>
            <w:vMerge/>
          </w:tcPr>
          <w:p w:rsidR="000A48DC" w:rsidRDefault="000A48DC"/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170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проценты</w: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2891" w:type="dxa"/>
            <w:vMerge/>
          </w:tcPr>
          <w:p w:rsidR="000A48DC" w:rsidRDefault="000A48DC"/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10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0A48DC" w:rsidRDefault="000A48DC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15,45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14,66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-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0A48DC" w:rsidRDefault="000A48DC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14,96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15,33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14,09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9,36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5,48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5,61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0A48DC" w:rsidRDefault="000A48DC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14,27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9,95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850" w:type="dxa"/>
          </w:tcPr>
          <w:p w:rsidR="000A48DC" w:rsidRDefault="000A48DC">
            <w:pPr>
              <w:pStyle w:val="ConsPlusNormal"/>
              <w:jc w:val="center"/>
            </w:pPr>
            <w:r>
              <w:t>5,82</w:t>
            </w:r>
          </w:p>
        </w:tc>
      </w:tr>
    </w:tbl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ind w:firstLine="540"/>
        <w:jc w:val="both"/>
      </w:pPr>
      <w:r w:rsidRPr="001865CF">
        <w:rPr>
          <w:position w:val="-9"/>
        </w:rPr>
        <w:pict>
          <v:shape id="_x0000_i1049" style="width:24pt;height:21pt" coordsize="" o:spt="100" adj="0,,0" path="" stroked="f">
            <v:stroke joinstyle="miter"/>
            <v:imagedata r:id="rId29" o:title="base_23772_72743_50"/>
            <v:formulas/>
            <v:path o:connecttype="segments"/>
          </v:shape>
        </w:pict>
      </w:r>
      <w:r>
        <w:t xml:space="preserve"> - коэффициент параметров деятельности ГП, определяемый в соответствии с Методическими </w:t>
      </w:r>
      <w:hyperlink r:id="rId30" w:history="1">
        <w:r>
          <w:rPr>
            <w:color w:val="0000FF"/>
          </w:rPr>
          <w:t>указаниями</w:t>
        </w:r>
      </w:hyperlink>
      <w:r>
        <w:t xml:space="preserve"> по расчету сбытовых надбавок гарантирующих поставщиков и размера доходности продаж гарантирующих поставщиков, утвержденными приказом ФСТ России от 30.10.2012 N 703-э (зарегистрировано в Минюсте России 29.11.2012, регистрационный N 25975), и указанный в отношении группы "прочие потребители" k-го ГП в таблице:</w:t>
      </w:r>
    </w:p>
    <w:p w:rsidR="000A48DC" w:rsidRDefault="000A48D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2665"/>
        <w:gridCol w:w="2665"/>
      </w:tblGrid>
      <w:tr w:rsidR="000A48DC">
        <w:tc>
          <w:tcPr>
            <w:tcW w:w="624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0A48DC" w:rsidRDefault="000A48DC">
            <w:pPr>
              <w:pStyle w:val="ConsPlusNormal"/>
              <w:jc w:val="center"/>
            </w:pPr>
            <w:r>
              <w:t>Наименование гарантирующего поставщика</w:t>
            </w:r>
          </w:p>
        </w:tc>
        <w:tc>
          <w:tcPr>
            <w:tcW w:w="5330" w:type="dxa"/>
            <w:gridSpan w:val="2"/>
          </w:tcPr>
          <w:p w:rsidR="000A48DC" w:rsidRDefault="000A48DC">
            <w:pPr>
              <w:pStyle w:val="ConsPlusNormal"/>
              <w:jc w:val="center"/>
            </w:pPr>
            <w:r>
              <w:t>Коэффициент параметров деятельности гарантирующего поставщика </w:t>
            </w:r>
            <w:r w:rsidRPr="001865CF">
              <w:rPr>
                <w:position w:val="-16"/>
              </w:rPr>
              <w:pict>
                <v:shape id="_x0000_i1050" style="width:36pt;height:24pt" coordsize="" o:spt="100" adj="0,,0" path="" stroked="f">
                  <v:stroke joinstyle="miter"/>
                  <v:imagedata r:id="rId31" o:title="base_23772_72743_51"/>
                  <v:formulas/>
                  <v:path o:connecttype="segments"/>
                </v:shape>
              </w:pict>
            </w:r>
          </w:p>
        </w:tc>
      </w:tr>
      <w:tr w:rsidR="000A48DC">
        <w:tc>
          <w:tcPr>
            <w:tcW w:w="624" w:type="dxa"/>
            <w:vMerge/>
          </w:tcPr>
          <w:p w:rsidR="000A48DC" w:rsidRDefault="000A48DC"/>
        </w:tc>
        <w:tc>
          <w:tcPr>
            <w:tcW w:w="3685" w:type="dxa"/>
            <w:vMerge/>
          </w:tcPr>
          <w:p w:rsidR="000A48DC" w:rsidRDefault="000A48DC"/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4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0A48DC" w:rsidRDefault="000A48DC">
            <w:pPr>
              <w:pStyle w:val="ConsPlusNormal"/>
            </w:pPr>
            <w:r>
              <w:t>ОАО "Оборонэнергосбыт"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1,378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1,12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0A48DC" w:rsidRDefault="000A48DC">
            <w:pPr>
              <w:pStyle w:val="ConsPlusNormal"/>
            </w:pPr>
            <w:r>
              <w:t>ОАО "Липецкая энергосбытовая компания"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0,323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0,45</w:t>
            </w:r>
          </w:p>
        </w:tc>
      </w:tr>
      <w:tr w:rsidR="000A48DC">
        <w:tc>
          <w:tcPr>
            <w:tcW w:w="624" w:type="dxa"/>
          </w:tcPr>
          <w:p w:rsidR="000A48DC" w:rsidRDefault="000A48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0A48DC" w:rsidRDefault="000A48DC">
            <w:pPr>
              <w:pStyle w:val="ConsPlusNormal"/>
            </w:pPr>
            <w:r>
              <w:t>ООО "Городская энергосбытовая компания"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0,104</w:t>
            </w:r>
          </w:p>
        </w:tc>
        <w:tc>
          <w:tcPr>
            <w:tcW w:w="2665" w:type="dxa"/>
          </w:tcPr>
          <w:p w:rsidR="000A48DC" w:rsidRDefault="000A48DC">
            <w:pPr>
              <w:pStyle w:val="ConsPlusNormal"/>
              <w:jc w:val="center"/>
            </w:pPr>
            <w:r>
              <w:t>0,53</w:t>
            </w:r>
          </w:p>
        </w:tc>
      </w:tr>
    </w:tbl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right"/>
      </w:pPr>
      <w:r>
        <w:t>Начальник управления</w:t>
      </w:r>
    </w:p>
    <w:p w:rsidR="000A48DC" w:rsidRDefault="000A48DC">
      <w:pPr>
        <w:pStyle w:val="ConsPlusNormal"/>
        <w:jc w:val="right"/>
      </w:pPr>
      <w:r>
        <w:t>В.И.ЧУНИХИН</w:t>
      </w: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jc w:val="both"/>
      </w:pPr>
    </w:p>
    <w:p w:rsidR="000A48DC" w:rsidRDefault="000A48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6EBB" w:rsidRDefault="00AB6EBB"/>
    <w:sectPr w:rsidR="00AB6EBB" w:rsidSect="005E0EA5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DC"/>
    <w:rsid w:val="000A48DC"/>
    <w:rsid w:val="00A33FDA"/>
    <w:rsid w:val="00A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45737-BEFA-4B34-847D-5A166F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4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4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D4644D1CF8DE85EA3B87E707BA954263F2BAF980728027CBFFFC58C9v3l8G" TargetMode="External"/><Relationship Id="rId13" Type="http://schemas.openxmlformats.org/officeDocument/2006/relationships/hyperlink" Target="consultantplus://offline/ref=99D4644D1CF8DE85EA3B99EA11D6C94D62FFE3F786778E759FA0A7059E31A54D8AA82E889FB97DB8658786v1l2G" TargetMode="External"/><Relationship Id="rId18" Type="http://schemas.openxmlformats.org/officeDocument/2006/relationships/image" Target="media/image3.wmf"/><Relationship Id="rId26" Type="http://schemas.openxmlformats.org/officeDocument/2006/relationships/hyperlink" Target="consultantplus://offline/ref=99D4644D1CF8DE85EA3B87E707BA954263F7B5FC847D8027CBFFFC58C938AF1ACDE777CADBB47CB1v6l2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wmf"/><Relationship Id="rId7" Type="http://schemas.openxmlformats.org/officeDocument/2006/relationships/hyperlink" Target="consultantplus://offline/ref=99D4644D1CF8DE85EA3B87E707BA954263F3BFFA84718027CBFFFC58C9v3l8G" TargetMode="External"/><Relationship Id="rId12" Type="http://schemas.openxmlformats.org/officeDocument/2006/relationships/hyperlink" Target="consultantplus://offline/ref=99D4644D1CF8DE85EA3B99EA11D6C94D62FFE3F78774897597A0A7059E31A54Dv8lAG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99D4644D1CF8DE85EA3B87E707BA954263F2B4F2817D8027CBFFFC58C9v3l8G" TargetMode="External"/><Relationship Id="rId11" Type="http://schemas.openxmlformats.org/officeDocument/2006/relationships/hyperlink" Target="consultantplus://offline/ref=99D4644D1CF8DE85EA3B99EA11D6C94D62FFE3F7847D837897A0A7059E31A54Dv8lAG" TargetMode="Externa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9D4644D1CF8DE85EA3B99EA11D6C94D62FFE3F786778E759FA0A7059E31A54D8AA82E889FB97DB8658786v1l1G" TargetMode="External"/><Relationship Id="rId15" Type="http://schemas.openxmlformats.org/officeDocument/2006/relationships/hyperlink" Target="consultantplus://offline/ref=99D4644D1CF8DE85EA3B99EA11D6C94D62FFE3F786778E759FA0A7059E31A54D8AA82E889FB97DB8658786v1l2G" TargetMode="External"/><Relationship Id="rId23" Type="http://schemas.openxmlformats.org/officeDocument/2006/relationships/image" Target="media/image8.wmf"/><Relationship Id="rId28" Type="http://schemas.openxmlformats.org/officeDocument/2006/relationships/hyperlink" Target="consultantplus://offline/ref=99D4644D1CF8DE85EA3B87E707BA954263F7B5FC847D8027CBFFFC58C938AF1ACDE777CADBB47CB9v6l6G" TargetMode="External"/><Relationship Id="rId10" Type="http://schemas.openxmlformats.org/officeDocument/2006/relationships/hyperlink" Target="consultantplus://offline/ref=99D4644D1CF8DE85EA3B87E707BA954263F2BDF285718027CBFFFC58C9v3l8G" TargetMode="External"/><Relationship Id="rId19" Type="http://schemas.openxmlformats.org/officeDocument/2006/relationships/image" Target="media/image4.wmf"/><Relationship Id="rId31" Type="http://schemas.openxmlformats.org/officeDocument/2006/relationships/image" Target="media/image13.wmf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9D4644D1CF8DE85EA3B87E707BA954263F7B5FC847D8027CBFFFC58C9v3l8G" TargetMode="External"/><Relationship Id="rId14" Type="http://schemas.openxmlformats.org/officeDocument/2006/relationships/hyperlink" Target="consultantplus://offline/ref=99D4644D1CF8DE85EA3B99EA11D6C94D62FFE3F786778E759FA0A7059E31A54D8AA82E889FB97DB8658786v1l2G" TargetMode="External"/><Relationship Id="rId22" Type="http://schemas.openxmlformats.org/officeDocument/2006/relationships/image" Target="media/image7.wmf"/><Relationship Id="rId27" Type="http://schemas.openxmlformats.org/officeDocument/2006/relationships/image" Target="media/image11.wmf"/><Relationship Id="rId30" Type="http://schemas.openxmlformats.org/officeDocument/2006/relationships/hyperlink" Target="consultantplus://offline/ref=99D4644D1CF8DE85EA3B87E707BA954263F7B5FC847D8027CBFFFC58C938AF1ACDE777CADBB47CB9v6l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Боровских Ю.С..</dc:creator>
  <cp:keywords/>
  <dc:description/>
  <cp:lastModifiedBy>Боровских Ю.С..</cp:lastModifiedBy>
  <cp:revision>1</cp:revision>
  <dcterms:created xsi:type="dcterms:W3CDTF">2015-08-11T06:37:00Z</dcterms:created>
  <dcterms:modified xsi:type="dcterms:W3CDTF">2015-08-11T06:38:00Z</dcterms:modified>
</cp:coreProperties>
</file>